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2AF9" w14:textId="2C7B43E3" w:rsidR="001F50F4" w:rsidRDefault="001F50F4" w:rsidP="001F50F4">
      <w:pPr>
        <w:suppressAutoHyphens/>
        <w:autoSpaceDN w:val="0"/>
        <w:spacing w:after="0"/>
        <w:rPr>
          <w:rFonts w:ascii="Liberation Serif" w:eastAsia="NSimSun" w:hAnsi="Liberation Serif" w:cs="Arial"/>
          <w:kern w:val="3"/>
          <w:lang w:eastAsia="zh-CN" w:bidi="hi-IN"/>
        </w:rPr>
      </w:pPr>
      <w:r>
        <w:rPr>
          <w:rFonts w:ascii="Candara" w:eastAsia="Candara" w:hAnsi="Candara" w:cs="Candara"/>
          <w:b/>
          <w:lang w:eastAsia="zh-CN"/>
        </w:rPr>
        <w:t xml:space="preserve">                   </w:t>
      </w:r>
      <w:r>
        <w:rPr>
          <w:rFonts w:ascii="Candara" w:hAnsi="Candara" w:cs="Candara"/>
          <w:b/>
          <w:noProof/>
          <w:lang w:eastAsia="zh-CN"/>
        </w:rPr>
        <w:drawing>
          <wp:inline distT="0" distB="0" distL="0" distR="0" wp14:anchorId="35CC7CE5" wp14:editId="270CADFB">
            <wp:extent cx="685800" cy="828675"/>
            <wp:effectExtent l="0" t="0" r="0" b="9525"/>
            <wp:docPr id="7706986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3467" w14:textId="77777777" w:rsidR="001F50F4" w:rsidRDefault="001F50F4" w:rsidP="001F50F4">
      <w:pPr>
        <w:suppressAutoHyphens/>
        <w:autoSpaceDN w:val="0"/>
        <w:spacing w:after="0"/>
        <w:rPr>
          <w:rFonts w:ascii="Liberation Serif" w:eastAsia="NSimSun" w:hAnsi="Liberation Serif" w:cs="Arial"/>
          <w:kern w:val="3"/>
          <w:lang w:eastAsia="zh-CN" w:bidi="hi-IN"/>
        </w:rPr>
      </w:pPr>
      <w:r>
        <w:rPr>
          <w:rFonts w:ascii="Calibri" w:eastAsia="Calibri" w:hAnsi="Calibri" w:cs="Calibri"/>
          <w:b/>
          <w:lang w:eastAsia="zh-CN"/>
        </w:rPr>
        <w:t xml:space="preserve">         </w:t>
      </w:r>
      <w:r>
        <w:rPr>
          <w:rFonts w:ascii="Calibri" w:eastAsia="Batang" w:hAnsi="Calibri" w:cs="Calibri"/>
          <w:b/>
          <w:lang w:eastAsia="zh-CN"/>
        </w:rPr>
        <w:t>REPUBLIKA HRVATSKA</w:t>
      </w:r>
    </w:p>
    <w:p w14:paraId="6B3011C2" w14:textId="77777777" w:rsidR="001F50F4" w:rsidRDefault="001F50F4" w:rsidP="001F50F4">
      <w:pPr>
        <w:suppressAutoHyphens/>
        <w:autoSpaceDN w:val="0"/>
        <w:spacing w:after="0"/>
        <w:rPr>
          <w:rFonts w:ascii="Liberation Serif" w:eastAsia="NSimSun" w:hAnsi="Liberation Serif" w:cs="Arial"/>
          <w:kern w:val="3"/>
          <w:lang w:eastAsia="zh-CN" w:bidi="hi-IN"/>
        </w:rPr>
      </w:pPr>
      <w:r>
        <w:rPr>
          <w:rFonts w:ascii="Calibri" w:eastAsia="Batang" w:hAnsi="Calibri" w:cs="Calibri"/>
          <w:b/>
          <w:lang w:eastAsia="zh-CN"/>
        </w:rPr>
        <w:t xml:space="preserve">BRODSKO-POSAVSKA ŽUPANIJA </w:t>
      </w:r>
    </w:p>
    <w:p w14:paraId="2E26299D" w14:textId="77777777" w:rsidR="001F50F4" w:rsidRDefault="001F50F4" w:rsidP="001F50F4">
      <w:pPr>
        <w:suppressAutoHyphens/>
        <w:autoSpaceDN w:val="0"/>
        <w:spacing w:after="0"/>
        <w:rPr>
          <w:rFonts w:ascii="Liberation Serif" w:eastAsia="NSimSun" w:hAnsi="Liberation Serif" w:cs="Arial"/>
          <w:kern w:val="3"/>
          <w:lang w:eastAsia="zh-CN" w:bidi="hi-IN"/>
        </w:rPr>
      </w:pPr>
      <w:r>
        <w:rPr>
          <w:rFonts w:ascii="Calibri" w:eastAsia="Calibri" w:hAnsi="Calibri" w:cs="Calibri"/>
          <w:b/>
          <w:lang w:eastAsia="zh-CN"/>
        </w:rPr>
        <w:t xml:space="preserve">      </w:t>
      </w:r>
      <w:r>
        <w:rPr>
          <w:rFonts w:ascii="Calibri" w:eastAsia="Batang" w:hAnsi="Calibri" w:cs="Calibri"/>
          <w:b/>
          <w:lang w:eastAsia="zh-CN"/>
        </w:rPr>
        <w:t>OPĆINA STARA GRADIŠKA</w:t>
      </w:r>
    </w:p>
    <w:p w14:paraId="09173E16" w14:textId="76970D7A" w:rsidR="001F50F4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  <w:r>
        <w:rPr>
          <w:rFonts w:ascii="Calibri" w:eastAsia="Calibri" w:hAnsi="Calibri" w:cs="Calibri"/>
          <w:b/>
          <w:lang w:eastAsia="zh-CN"/>
        </w:rPr>
        <w:t xml:space="preserve">            </w:t>
      </w:r>
      <w:r>
        <w:rPr>
          <w:rFonts w:ascii="Calibri" w:eastAsia="Calibri" w:hAnsi="Calibri" w:cs="Calibri"/>
          <w:b/>
          <w:lang w:eastAsia="zh-CN"/>
        </w:rPr>
        <w:t>N A Č E L N I K</w:t>
      </w:r>
    </w:p>
    <w:p w14:paraId="6C049E95" w14:textId="77777777" w:rsidR="001F50F4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</w:p>
    <w:p w14:paraId="3D3DFB8B" w14:textId="56CC0622" w:rsidR="00532D0A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  <w:r>
        <w:rPr>
          <w:rFonts w:ascii="Calibri" w:eastAsia="Calibri" w:hAnsi="Calibri" w:cs="Calibri"/>
          <w:b/>
          <w:lang w:eastAsia="zh-CN"/>
        </w:rPr>
        <w:t>Stara Gradiška, 18.svibnja 2023.godine</w:t>
      </w:r>
    </w:p>
    <w:p w14:paraId="5C4EBC05" w14:textId="77777777" w:rsidR="001F50F4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</w:p>
    <w:p w14:paraId="57217963" w14:textId="77777777" w:rsidR="001F50F4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</w:p>
    <w:p w14:paraId="76138D0A" w14:textId="4B3BAF84" w:rsidR="001F50F4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  <w:t>OPĆINSKO VIJEĆE</w:t>
      </w:r>
    </w:p>
    <w:p w14:paraId="1048DEC4" w14:textId="79250CE2" w:rsidR="00532D0A" w:rsidRDefault="001F50F4" w:rsidP="001F50F4">
      <w:pPr>
        <w:suppressAutoHyphens/>
        <w:autoSpaceDN w:val="0"/>
        <w:spacing w:after="0"/>
        <w:rPr>
          <w:rFonts w:ascii="Calibri" w:eastAsia="Calibri" w:hAnsi="Calibri" w:cs="Calibri"/>
          <w:b/>
          <w:lang w:eastAsia="zh-CN"/>
        </w:rPr>
      </w:pP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</w:r>
      <w:r>
        <w:rPr>
          <w:rFonts w:ascii="Calibri" w:eastAsia="Calibri" w:hAnsi="Calibri" w:cs="Calibri"/>
          <w:b/>
          <w:lang w:eastAsia="zh-CN"/>
        </w:rPr>
        <w:tab/>
        <w:t>OPĆINE STARA GRADIŠKA</w:t>
      </w:r>
    </w:p>
    <w:p w14:paraId="5A4DC7F1" w14:textId="77777777" w:rsidR="001F50F4" w:rsidRDefault="001F50F4" w:rsidP="001F50F4">
      <w:pPr>
        <w:suppressAutoHyphens/>
        <w:autoSpaceDN w:val="0"/>
        <w:spacing w:after="0"/>
      </w:pPr>
    </w:p>
    <w:p w14:paraId="70CA2AC6" w14:textId="77777777" w:rsidR="00532D0A" w:rsidRDefault="00532D0A"/>
    <w:p w14:paraId="025D3368" w14:textId="77777777" w:rsidR="001F50F4" w:rsidRDefault="00532D0A" w:rsidP="001F50F4">
      <w:pPr>
        <w:spacing w:after="0"/>
        <w:rPr>
          <w:b/>
          <w:bCs/>
        </w:rPr>
      </w:pPr>
      <w:r w:rsidRPr="001F50F4">
        <w:rPr>
          <w:b/>
          <w:bCs/>
        </w:rPr>
        <w:t>Predmet :</w:t>
      </w:r>
      <w:r w:rsidR="001F50F4">
        <w:rPr>
          <w:b/>
          <w:bCs/>
        </w:rPr>
        <w:t xml:space="preserve"> </w:t>
      </w:r>
      <w:r w:rsidRPr="001F50F4">
        <w:rPr>
          <w:b/>
          <w:bCs/>
        </w:rPr>
        <w:t xml:space="preserve"> Informacije o poduzetim radnjama glede Odluke o prodaji nekretnine u vlasništvu </w:t>
      </w:r>
    </w:p>
    <w:p w14:paraId="748CA375" w14:textId="111233E3" w:rsidR="00532D0A" w:rsidRPr="001F50F4" w:rsidRDefault="00532D0A" w:rsidP="001F50F4">
      <w:pPr>
        <w:spacing w:after="0"/>
        <w:ind w:left="708" w:firstLine="708"/>
        <w:rPr>
          <w:b/>
          <w:bCs/>
        </w:rPr>
      </w:pPr>
      <w:r w:rsidRPr="001F50F4">
        <w:rPr>
          <w:b/>
          <w:bCs/>
        </w:rPr>
        <w:t xml:space="preserve">Općine Stara Gradiška k.o. </w:t>
      </w:r>
      <w:proofErr w:type="spellStart"/>
      <w:r w:rsidRPr="001F50F4">
        <w:rPr>
          <w:b/>
          <w:bCs/>
        </w:rPr>
        <w:t>Bodegraj</w:t>
      </w:r>
      <w:proofErr w:type="spellEnd"/>
      <w:r w:rsidR="00B17F7D" w:rsidRPr="001F50F4">
        <w:rPr>
          <w:b/>
          <w:bCs/>
        </w:rPr>
        <w:t xml:space="preserve"> , k.č.br 16/42</w:t>
      </w:r>
      <w:r w:rsidRPr="001F50F4">
        <w:rPr>
          <w:b/>
          <w:bCs/>
        </w:rPr>
        <w:t xml:space="preserve"> s analizom i zaključcima </w:t>
      </w:r>
    </w:p>
    <w:p w14:paraId="2BC401C7" w14:textId="77777777" w:rsidR="00532D0A" w:rsidRDefault="00532D0A"/>
    <w:p w14:paraId="2E14BEDE" w14:textId="0CFC5E0A" w:rsidR="00532D0A" w:rsidRDefault="00532D0A">
      <w:r>
        <w:t xml:space="preserve">Općinsko vijeće </w:t>
      </w:r>
      <w:r w:rsidR="001F50F4">
        <w:t>O</w:t>
      </w:r>
      <w:r>
        <w:t xml:space="preserve">pćine Stara Gradiška je na 10. sjednici Općinskog vijeća održanoj 21.12.2022. godine donijelo </w:t>
      </w:r>
      <w:r w:rsidR="001F50F4">
        <w:t>O</w:t>
      </w:r>
      <w:r>
        <w:t xml:space="preserve">dluku o prodaji nekretnine u vlasništvu Općine Stara Gradiška u </w:t>
      </w:r>
      <w:proofErr w:type="spellStart"/>
      <w:r>
        <w:t>k.o</w:t>
      </w:r>
      <w:proofErr w:type="spellEnd"/>
      <w:r>
        <w:t xml:space="preserve"> </w:t>
      </w:r>
      <w:proofErr w:type="spellStart"/>
      <w:r>
        <w:t>Bodegraj</w:t>
      </w:r>
      <w:proofErr w:type="spellEnd"/>
      <w:r>
        <w:t xml:space="preserve">  k.č.br 16/42</w:t>
      </w:r>
    </w:p>
    <w:p w14:paraId="1089D846" w14:textId="101175F2" w:rsidR="00532D0A" w:rsidRDefault="00532D0A">
      <w:r>
        <w:t xml:space="preserve">Nakon </w:t>
      </w:r>
      <w:r w:rsidR="00636A75">
        <w:t>don</w:t>
      </w:r>
      <w:r w:rsidR="001F50F4">
        <w:t xml:space="preserve">ošenja </w:t>
      </w:r>
      <w:r>
        <w:t xml:space="preserve"> </w:t>
      </w:r>
      <w:r w:rsidR="001F50F4">
        <w:t>premetne Od</w:t>
      </w:r>
      <w:r>
        <w:t xml:space="preserve">luke  poduzete su slijedeće radnje </w:t>
      </w:r>
      <w:r w:rsidR="00636A75">
        <w:t>:</w:t>
      </w:r>
    </w:p>
    <w:p w14:paraId="1A4A3307" w14:textId="18AE4770" w:rsidR="00C32F92" w:rsidRDefault="00532D0A" w:rsidP="00C32F92">
      <w:pPr>
        <w:pStyle w:val="Odlomakpopisa"/>
        <w:numPr>
          <w:ilvl w:val="0"/>
          <w:numId w:val="1"/>
        </w:numPr>
      </w:pPr>
      <w:r>
        <w:t xml:space="preserve">Dana 05.01.2023. godine od strane Općine Stara Gradiška </w:t>
      </w:r>
      <w:r w:rsidR="001F50F4">
        <w:t xml:space="preserve">upućen </w:t>
      </w:r>
      <w:r>
        <w:t xml:space="preserve"> je dopis  </w:t>
      </w:r>
      <w:r w:rsidR="001F50F4">
        <w:t xml:space="preserve">Ministarstvu poljoprivrede Republike Hrvatske </w:t>
      </w:r>
      <w:r>
        <w:t xml:space="preserve">u s vezi provođenja zakonske odredbe prvokupa od strane R. Hrvatske ( </w:t>
      </w:r>
      <w:r w:rsidR="00C32F92">
        <w:t>članak 71 .</w:t>
      </w:r>
      <w:r>
        <w:t xml:space="preserve">Zakon o poljoprivrednom zemljištu NN 20/18 , 115/18, 98/19 , 57/2) </w:t>
      </w:r>
    </w:p>
    <w:p w14:paraId="31480256" w14:textId="05B3C197" w:rsidR="00C32F92" w:rsidRDefault="00C32F92" w:rsidP="00C32F92">
      <w:pPr>
        <w:ind w:left="720"/>
      </w:pPr>
      <w:r>
        <w:t xml:space="preserve">Ministarstvo poljoprivrede je dana 21.02.2023.  zatražilo nadopunu predmeta s određenom dokumentacijom koja im je dostavljena  te je Ministarstvo poljoprivrede dana 09.03.2023. godine dostavilo odgovor u smislu da se odriče prava na prvokup. </w:t>
      </w:r>
    </w:p>
    <w:p w14:paraId="52CD5639" w14:textId="0C538309" w:rsidR="00C32F92" w:rsidRDefault="00C32F92" w:rsidP="004716B7">
      <w:pPr>
        <w:pStyle w:val="Odlomakpopisa"/>
        <w:numPr>
          <w:ilvl w:val="0"/>
          <w:numId w:val="1"/>
        </w:numPr>
      </w:pPr>
      <w:r>
        <w:t xml:space="preserve">Dana 03.03.2023. godine od strane Načelnika općine Stara Gradiška </w:t>
      </w:r>
      <w:r w:rsidR="001F50F4">
        <w:t xml:space="preserve">upućen </w:t>
      </w:r>
      <w:r>
        <w:t>je dopis Državnom odvjetništvu Republike Hrvatske – kazneni odjel</w:t>
      </w:r>
      <w:r w:rsidR="001F50F4">
        <w:t xml:space="preserve"> kojim </w:t>
      </w:r>
      <w:r w:rsidR="004716B7">
        <w:t xml:space="preserve"> je zatraženo</w:t>
      </w:r>
      <w:r w:rsidR="004716B7" w:rsidRPr="004716B7">
        <w:t xml:space="preserve"> mišljenje odnosno tumačenje Državnog odvjetništva Republike Hrvatske u kontekstu kaznenopravne odgovornosti vezano za način raspolaganja predmetnom nekretninom</w:t>
      </w:r>
      <w:r>
        <w:t>.</w:t>
      </w:r>
    </w:p>
    <w:p w14:paraId="21539351" w14:textId="77777777" w:rsidR="00C32F92" w:rsidRDefault="00C32F92" w:rsidP="00C32F92">
      <w:pPr>
        <w:pStyle w:val="Odlomakpopisa"/>
      </w:pPr>
    </w:p>
    <w:p w14:paraId="325A47D6" w14:textId="6FCF1FD5" w:rsidR="00C32F92" w:rsidRDefault="00C32F92" w:rsidP="00C32F92">
      <w:pPr>
        <w:pStyle w:val="Odlomakpopisa"/>
      </w:pPr>
      <w:r>
        <w:t xml:space="preserve">Do dana izrade ovog izvješća Općina Stara Gradiška nije zaprimila odgovor na upućeni dopis </w:t>
      </w:r>
    </w:p>
    <w:p w14:paraId="64D18EFA" w14:textId="77777777" w:rsidR="00636A75" w:rsidRDefault="00636A75" w:rsidP="00C32F92">
      <w:pPr>
        <w:pStyle w:val="Odlomakpopisa"/>
      </w:pPr>
    </w:p>
    <w:p w14:paraId="47691383" w14:textId="063F5826" w:rsidR="00636A75" w:rsidRDefault="00636A75" w:rsidP="00636A75">
      <w:pPr>
        <w:pStyle w:val="Odlomakpopisa"/>
        <w:numPr>
          <w:ilvl w:val="0"/>
          <w:numId w:val="1"/>
        </w:numPr>
      </w:pPr>
      <w:r>
        <w:t xml:space="preserve"> Dana 20.03.2023. godine od strane Načelnika općine Stara Gradiška </w:t>
      </w:r>
      <w:r w:rsidR="001F50F4">
        <w:t>upućen je</w:t>
      </w:r>
      <w:r>
        <w:t xml:space="preserve"> dopis Ministarstvu Gospodarstva poradi tumačenja članka 17.  Zakona o tržištu električne energije  </w:t>
      </w:r>
      <w:r w:rsidR="001F50F4">
        <w:t xml:space="preserve"> </w:t>
      </w:r>
      <w:r>
        <w:t xml:space="preserve">( NN 111/2021 ) vezano za određene odredbe predmetnog članka . </w:t>
      </w:r>
    </w:p>
    <w:p w14:paraId="06737C6F" w14:textId="77777777" w:rsidR="00636A75" w:rsidRDefault="00636A75" w:rsidP="00636A75">
      <w:pPr>
        <w:pStyle w:val="Odlomakpopisa"/>
      </w:pPr>
    </w:p>
    <w:p w14:paraId="09263470" w14:textId="77777777" w:rsidR="00636A75" w:rsidRDefault="00636A75" w:rsidP="00636A75">
      <w:pPr>
        <w:pStyle w:val="Odlomakpopisa"/>
      </w:pPr>
      <w:r>
        <w:t xml:space="preserve">Do dana izrade ovog izvješća Općina Stara Gradiška nije zaprimila odgovor na upućeni dopis </w:t>
      </w:r>
    </w:p>
    <w:p w14:paraId="7DDD5751" w14:textId="77777777" w:rsidR="001F50F4" w:rsidRDefault="001F50F4" w:rsidP="00636A75">
      <w:pPr>
        <w:pStyle w:val="Odlomakpopisa"/>
      </w:pPr>
    </w:p>
    <w:p w14:paraId="3D97B922" w14:textId="2ED41AE2" w:rsidR="00636A75" w:rsidRDefault="00636A75" w:rsidP="00636A75">
      <w:pPr>
        <w:pStyle w:val="Odlomakpopisa"/>
        <w:numPr>
          <w:ilvl w:val="0"/>
          <w:numId w:val="1"/>
        </w:numPr>
      </w:pPr>
      <w:r>
        <w:t xml:space="preserve"> Dana 01.02.2023. godine na 11. sjednici Općinskog vijeća  imali smo prezentaciju gđe Irene </w:t>
      </w:r>
      <w:proofErr w:type="spellStart"/>
      <w:r>
        <w:t>Štetić</w:t>
      </w:r>
      <w:proofErr w:type="spellEnd"/>
      <w:r>
        <w:t xml:space="preserve"> – </w:t>
      </w:r>
      <w:proofErr w:type="spellStart"/>
      <w:r>
        <w:t>Andrin</w:t>
      </w:r>
      <w:proofErr w:type="spellEnd"/>
      <w:r>
        <w:t xml:space="preserve">  predstavnika tvrtke Terra Purus. Gđa </w:t>
      </w:r>
      <w:proofErr w:type="spellStart"/>
      <w:r>
        <w:t>Andrin</w:t>
      </w:r>
      <w:proofErr w:type="spellEnd"/>
      <w:r>
        <w:t xml:space="preserve"> je u svojoj prezentaciji predstavila </w:t>
      </w:r>
      <w:r>
        <w:lastRenderedPageBreak/>
        <w:t xml:space="preserve">i upoznala Općinsko vijeće s drugim modelima raspolaganja predmetnim  zemljištem  poradi izgradnje solarnih elektrana a koji su prisutni na tržištu.  </w:t>
      </w:r>
    </w:p>
    <w:p w14:paraId="292555B8" w14:textId="77777777" w:rsidR="00636A75" w:rsidRDefault="00636A75" w:rsidP="00636A75"/>
    <w:p w14:paraId="0188CE81" w14:textId="557F8129" w:rsidR="00636A75" w:rsidRDefault="00636A75" w:rsidP="00B17F7D">
      <w:pPr>
        <w:jc w:val="both"/>
        <w:rPr>
          <w:rFonts w:cstheme="minorHAnsi"/>
          <w:color w:val="252525"/>
          <w:shd w:val="clear" w:color="auto" w:fill="FFFFFF"/>
        </w:rPr>
      </w:pPr>
      <w:r w:rsidRPr="001F50F4">
        <w:rPr>
          <w:rFonts w:cstheme="minorHAnsi"/>
          <w:b/>
          <w:bCs/>
        </w:rPr>
        <w:t>ZAKLJUČAK :</w:t>
      </w:r>
      <w:r w:rsidRPr="00B17F7D">
        <w:rPr>
          <w:rFonts w:cstheme="minorHAnsi"/>
        </w:rPr>
        <w:t xml:space="preserve">   Općinsko vijeće Općine Stara Gradiška je </w:t>
      </w:r>
      <w:r w:rsidR="00B17F7D" w:rsidRPr="00B17F7D">
        <w:rPr>
          <w:rFonts w:cstheme="minorHAnsi"/>
        </w:rPr>
        <w:t xml:space="preserve">sukladno </w:t>
      </w:r>
      <w:hyperlink r:id="rId6" w:history="1">
        <w:r w:rsidR="00B17F7D" w:rsidRPr="00B17F7D">
          <w:rPr>
            <w:rStyle w:val="Hiperveza"/>
            <w:rFonts w:cstheme="minorHAnsi"/>
            <w:color w:val="0E349F"/>
            <w:u w:val="none"/>
            <w:shd w:val="clear" w:color="auto" w:fill="FFFFFF"/>
          </w:rPr>
          <w:t>Odluci o upravljanju i raspolaganju imovinom u vlasništvu Općine Stara Gradiška</w:t>
        </w:r>
      </w:hyperlink>
      <w:r w:rsidR="00B17F7D" w:rsidRPr="00B17F7D">
        <w:rPr>
          <w:rFonts w:cstheme="minorHAnsi"/>
          <w:color w:val="252525"/>
          <w:shd w:val="clear" w:color="auto" w:fill="FFFFFF"/>
        </w:rPr>
        <w:t> (Službeni vjesnik Općine Stara Gradiška br. </w:t>
      </w:r>
      <w:hyperlink r:id="rId7" w:history="1">
        <w:r w:rsidR="00B17F7D" w:rsidRPr="00B17F7D">
          <w:rPr>
            <w:rStyle w:val="Hiperveza"/>
            <w:rFonts w:cstheme="minorHAnsi"/>
            <w:color w:val="0E349F"/>
            <w:u w:val="none"/>
            <w:shd w:val="clear" w:color="auto" w:fill="FFFFFF"/>
          </w:rPr>
          <w:t>4/20</w:t>
        </w:r>
      </w:hyperlink>
      <w:r w:rsidR="00B17F7D" w:rsidRPr="00B17F7D">
        <w:rPr>
          <w:rFonts w:cstheme="minorHAnsi"/>
          <w:color w:val="252525"/>
          <w:shd w:val="clear" w:color="auto" w:fill="FFFFFF"/>
        </w:rPr>
        <w:t>) </w:t>
      </w:r>
      <w:r w:rsidRPr="00B17F7D">
        <w:rPr>
          <w:rFonts w:cstheme="minorHAnsi"/>
        </w:rPr>
        <w:t xml:space="preserve">jedino mjerodavno  provoditi </w:t>
      </w:r>
      <w:r w:rsidR="00B17F7D" w:rsidRPr="00B17F7D">
        <w:rPr>
          <w:rFonts w:cstheme="minorHAnsi"/>
        </w:rPr>
        <w:t>sve Odluke o  raspolaganju općinskom imovinom</w:t>
      </w:r>
      <w:r w:rsidR="001F50F4">
        <w:rPr>
          <w:rFonts w:cstheme="minorHAnsi"/>
        </w:rPr>
        <w:t>.</w:t>
      </w:r>
      <w:r w:rsidR="00B17F7D" w:rsidRPr="00B17F7D">
        <w:rPr>
          <w:rFonts w:cstheme="minorHAnsi"/>
        </w:rPr>
        <w:t xml:space="preserve">  </w:t>
      </w:r>
    </w:p>
    <w:p w14:paraId="7E49A345" w14:textId="6C2BBA4B" w:rsidR="00B17F7D" w:rsidRDefault="00B17F7D" w:rsidP="00B17F7D">
      <w:pPr>
        <w:jc w:val="both"/>
        <w:rPr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 xml:space="preserve">Upravo zbog toga  smatram da je potrebno Općinsko vijeće upoznati sa svim relevantnim informacijama kako bi  to tijelo moglo donijeti pravovaljanu odluku . </w:t>
      </w:r>
    </w:p>
    <w:p w14:paraId="651C7A5C" w14:textId="178AE075" w:rsidR="00B17F7D" w:rsidRDefault="00B17F7D" w:rsidP="00B17F7D">
      <w:pPr>
        <w:jc w:val="both"/>
        <w:rPr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>Tijekom prethodni</w:t>
      </w:r>
      <w:r w:rsidR="001F50F4">
        <w:rPr>
          <w:rFonts w:cstheme="minorHAnsi"/>
          <w:color w:val="252525"/>
          <w:shd w:val="clear" w:color="auto" w:fill="FFFFFF"/>
        </w:rPr>
        <w:t>h</w:t>
      </w:r>
      <w:r>
        <w:rPr>
          <w:rFonts w:cstheme="minorHAnsi"/>
          <w:color w:val="252525"/>
          <w:shd w:val="clear" w:color="auto" w:fill="FFFFFF"/>
        </w:rPr>
        <w:t xml:space="preserve"> mjeseci izvršena je analiza tržišta  u smislu  realizacije projekata obnovljivih izvora energije . </w:t>
      </w:r>
    </w:p>
    <w:p w14:paraId="3D71C45D" w14:textId="45D1A4D2" w:rsidR="00B17F7D" w:rsidRDefault="00B17F7D" w:rsidP="00B17F7D">
      <w:pPr>
        <w:jc w:val="both"/>
        <w:rPr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 xml:space="preserve">Na sjednici Općinskog vijeća biti će predstavljena detaljna analiza  koja je učinjena nakon prikupljanja </w:t>
      </w:r>
      <w:r w:rsidR="00BE51A1">
        <w:rPr>
          <w:rFonts w:cstheme="minorHAnsi"/>
          <w:color w:val="252525"/>
          <w:shd w:val="clear" w:color="auto" w:fill="FFFFFF"/>
        </w:rPr>
        <w:t xml:space="preserve">svih </w:t>
      </w:r>
      <w:r>
        <w:rPr>
          <w:rFonts w:cstheme="minorHAnsi"/>
          <w:color w:val="252525"/>
          <w:shd w:val="clear" w:color="auto" w:fill="FFFFFF"/>
        </w:rPr>
        <w:t>relevantnih informacija</w:t>
      </w:r>
      <w:r w:rsidR="001F50F4">
        <w:rPr>
          <w:rFonts w:cstheme="minorHAnsi"/>
          <w:color w:val="252525"/>
          <w:shd w:val="clear" w:color="auto" w:fill="FFFFFF"/>
        </w:rPr>
        <w:t>.</w:t>
      </w:r>
      <w:r>
        <w:rPr>
          <w:rFonts w:cstheme="minorHAnsi"/>
          <w:color w:val="252525"/>
          <w:shd w:val="clear" w:color="auto" w:fill="FFFFFF"/>
        </w:rPr>
        <w:t xml:space="preserve">  </w:t>
      </w:r>
    </w:p>
    <w:p w14:paraId="128CBFB0" w14:textId="16ACEE99" w:rsidR="00BE51A1" w:rsidRDefault="00BE51A1" w:rsidP="00B17F7D">
      <w:pPr>
        <w:jc w:val="both"/>
        <w:rPr>
          <w:rFonts w:cstheme="minorHAnsi"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>Nakon predstavljanja i usporedbe prikupljenih podataka smatram da je  potrebno od strane Općinskog vijeća donijeti određene smjernice i zaključke kako bi  se Odluka o raspolaganju predmetnim zemljište</w:t>
      </w:r>
      <w:r w:rsidR="001F50F4">
        <w:rPr>
          <w:rFonts w:cstheme="minorHAnsi"/>
          <w:color w:val="252525"/>
          <w:shd w:val="clear" w:color="auto" w:fill="FFFFFF"/>
        </w:rPr>
        <w:t>m</w:t>
      </w:r>
      <w:r>
        <w:rPr>
          <w:rFonts w:cstheme="minorHAnsi"/>
          <w:color w:val="252525"/>
          <w:shd w:val="clear" w:color="auto" w:fill="FFFFFF"/>
        </w:rPr>
        <w:t xml:space="preserve"> provela. </w:t>
      </w:r>
    </w:p>
    <w:p w14:paraId="4E2F576E" w14:textId="77777777" w:rsidR="001F50F4" w:rsidRDefault="001F50F4" w:rsidP="00B17F7D">
      <w:pPr>
        <w:jc w:val="both"/>
        <w:rPr>
          <w:rFonts w:cstheme="minorHAnsi"/>
          <w:color w:val="252525"/>
          <w:shd w:val="clear" w:color="auto" w:fill="FFFFFF"/>
        </w:rPr>
      </w:pPr>
    </w:p>
    <w:p w14:paraId="0DB29E58" w14:textId="7F446CB4" w:rsidR="001F50F4" w:rsidRDefault="001F50F4" w:rsidP="00B17F7D">
      <w:pPr>
        <w:jc w:val="both"/>
        <w:rPr>
          <w:rFonts w:cstheme="minorHAnsi"/>
          <w:b/>
          <w:bCs/>
          <w:color w:val="252525"/>
          <w:shd w:val="clear" w:color="auto" w:fill="FFFFFF"/>
        </w:rPr>
      </w:pP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>NAČELNIK OPĆINE:</w:t>
      </w:r>
    </w:p>
    <w:p w14:paraId="6BA52EFB" w14:textId="2B00DA2E" w:rsidR="001F50F4" w:rsidRPr="001F50F4" w:rsidRDefault="001F50F4" w:rsidP="00B17F7D">
      <w:pPr>
        <w:jc w:val="both"/>
        <w:rPr>
          <w:rFonts w:cstheme="minorHAnsi"/>
          <w:b/>
          <w:bCs/>
          <w:color w:val="252525"/>
          <w:shd w:val="clear" w:color="auto" w:fill="FFFFFF"/>
        </w:rPr>
      </w:pP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</w:r>
      <w:r>
        <w:rPr>
          <w:rFonts w:cstheme="minorHAnsi"/>
          <w:b/>
          <w:bCs/>
          <w:color w:val="252525"/>
          <w:shd w:val="clear" w:color="auto" w:fill="FFFFFF"/>
        </w:rPr>
        <w:tab/>
        <w:t xml:space="preserve">Velimir </w:t>
      </w:r>
      <w:proofErr w:type="spellStart"/>
      <w:r>
        <w:rPr>
          <w:rFonts w:cstheme="minorHAnsi"/>
          <w:b/>
          <w:bCs/>
          <w:color w:val="252525"/>
          <w:shd w:val="clear" w:color="auto" w:fill="FFFFFF"/>
        </w:rPr>
        <w:t>Paušić</w:t>
      </w:r>
      <w:proofErr w:type="spellEnd"/>
      <w:r>
        <w:rPr>
          <w:rFonts w:cstheme="minorHAnsi"/>
          <w:b/>
          <w:bCs/>
          <w:color w:val="252525"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bCs/>
          <w:color w:val="252525"/>
          <w:shd w:val="clear" w:color="auto" w:fill="FFFFFF"/>
        </w:rPr>
        <w:t>dipl.ing</w:t>
      </w:r>
      <w:proofErr w:type="spellEnd"/>
    </w:p>
    <w:p w14:paraId="4B6F1F5B" w14:textId="77777777" w:rsidR="001F50F4" w:rsidRPr="00B17F7D" w:rsidRDefault="001F50F4" w:rsidP="00B17F7D">
      <w:pPr>
        <w:jc w:val="both"/>
        <w:rPr>
          <w:rFonts w:cstheme="minorHAnsi"/>
        </w:rPr>
      </w:pPr>
    </w:p>
    <w:sectPr w:rsidR="001F50F4" w:rsidRPr="00B1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801"/>
    <w:multiLevelType w:val="hybridMultilevel"/>
    <w:tmpl w:val="0D32A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A"/>
    <w:rsid w:val="001F50F4"/>
    <w:rsid w:val="004716B7"/>
    <w:rsid w:val="00532D0A"/>
    <w:rsid w:val="00636A75"/>
    <w:rsid w:val="007823FE"/>
    <w:rsid w:val="00B17F7D"/>
    <w:rsid w:val="00BE51A1"/>
    <w:rsid w:val="00C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1713"/>
  <w15:chartTrackingRefBased/>
  <w15:docId w15:val="{E16B9815-AF3E-4886-A9DC-5998DE0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2D0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17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ragradiska.com/images/dokumenti/sluzbeni_vjesnik/2020/SLU%C5%BDBENI%20VJESNIK%20BR.%204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ragradiska.com/images/Odluka%20o%20upravljanju%20i%20raspolaganju%20imovinom%20u%20vlasni%C5%A1tvu%20op%C4%87ine%20Stara%20Gradi%C5%A1ka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2023-05-19T09:10:00Z</cp:lastPrinted>
  <dcterms:created xsi:type="dcterms:W3CDTF">2023-05-19T08:52:00Z</dcterms:created>
  <dcterms:modified xsi:type="dcterms:W3CDTF">2023-05-19T09:12:00Z</dcterms:modified>
</cp:coreProperties>
</file>